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FE" w:rsidRDefault="009D3E0B">
      <w:pPr>
        <w:widowControl/>
        <w:adjustRightInd w:val="0"/>
        <w:snapToGrid w:val="0"/>
        <w:spacing w:line="60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486DFE" w:rsidRDefault="00486DFE">
      <w:pPr>
        <w:widowControl/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86DFE" w:rsidRDefault="009D3E0B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sz w:val="44"/>
          <w:szCs w:val="44"/>
        </w:rPr>
        <w:t>2020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年度山东智库创新项目选题指南</w:t>
      </w:r>
    </w:p>
    <w:bookmarkEnd w:id="0"/>
    <w:p w:rsidR="00486DFE" w:rsidRDefault="00486DFE">
      <w:pPr>
        <w:widowControl/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486DFE" w:rsidRDefault="009D3E0B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一、重大战略研究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山东加快建设海洋强省战略研究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山东抢抓黄河流域生态保护和高质量发展战略机遇研究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山东加速培育数字经济生态战略研究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中国—上合组织地方经贸合作示范区建设研究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山东打造乡村振兴齐鲁样板推进农业农村现代化路径研究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山东科技创新融入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“一带一路”战略研究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基于“双创”融合视角下提升齐鲁文化影响力研究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8.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济南、青岛建设国家中心城市策略研究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cs="仿宋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山东实施超级计算发展战略可行性研究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/>
          <w:color w:val="000000"/>
          <w:sz w:val="32"/>
          <w:szCs w:val="32"/>
        </w:rPr>
        <w:t>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山东加快医养健康产业和公共卫生安全发展对策研究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二、重点项目研究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山东推进新型智慧城市建设对策研究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工业互联网赋能制造业转型升级对策研究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山东人工智能产业发展对策研究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山东建设省级区块链产业园区对策研究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山东省推进“现代优势产业集群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+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人工智能”建设研究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</w:t>
      </w:r>
      <w:r>
        <w:rPr>
          <w:rFonts w:ascii="仿宋" w:eastAsia="仿宋" w:hAnsi="仿宋" w:cs="仿宋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大数据助力山东省社会治理转型研究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7</w:t>
      </w:r>
      <w:r>
        <w:rPr>
          <w:rFonts w:ascii="仿宋" w:eastAsia="仿宋" w:hAnsi="仿宋" w:cs="仿宋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山东智慧农业发展对策研究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cs="仿宋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山东优势农产品高质量发展战略研究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cs="仿宋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山东省海洋装备产业发展路径研究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/>
          <w:color w:val="000000"/>
          <w:sz w:val="32"/>
          <w:szCs w:val="32"/>
        </w:rPr>
        <w:t>0.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海洋战略性新兴产业发展研究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沿海城市规模化利用海水路径研究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山东量子科技产业发展研究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山东超高清视频产业发展对策研究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/>
          <w:color w:val="000000"/>
          <w:sz w:val="32"/>
          <w:szCs w:val="32"/>
        </w:rPr>
        <w:t>5.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山东新能源汽车产业发展对策研究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/>
          <w:color w:val="000000"/>
          <w:sz w:val="32"/>
          <w:szCs w:val="32"/>
        </w:rPr>
        <w:t>6.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磁悬浮动力装备产业隐形冠军集群发展研究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/>
          <w:color w:val="000000"/>
          <w:sz w:val="32"/>
          <w:szCs w:val="32"/>
        </w:rPr>
        <w:t>7.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山东构建产业创新生态系统对策研究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/>
          <w:color w:val="000000"/>
          <w:sz w:val="32"/>
          <w:szCs w:val="32"/>
        </w:rPr>
        <w:t>8.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山东打造省级创新创业共同体路径研究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/>
          <w:color w:val="000000"/>
          <w:sz w:val="32"/>
          <w:szCs w:val="32"/>
        </w:rPr>
        <w:t>9.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构建大文化视野下的创新生态系统研究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/>
          <w:color w:val="000000"/>
          <w:sz w:val="32"/>
          <w:szCs w:val="32"/>
        </w:rPr>
        <w:t>0.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产业融合视角下数字文化产业发展对策研究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山东省科技创新支撑“八大发展战略”实施路径研究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山东标准化建设策略研究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山东新时代科技人才队伍体系建设研究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/>
          <w:color w:val="000000"/>
          <w:sz w:val="32"/>
          <w:szCs w:val="32"/>
        </w:rPr>
        <w:t>4.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山东高校引才用才问题研究及对策建议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/>
          <w:color w:val="000000"/>
          <w:sz w:val="32"/>
          <w:szCs w:val="32"/>
        </w:rPr>
        <w:t>5.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山东发展“夜经济”等消费业态对策研究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/>
          <w:color w:val="000000"/>
          <w:sz w:val="32"/>
          <w:szCs w:val="32"/>
        </w:rPr>
        <w:t>6.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山东省农村人居环境综合整治面临的问题与对策研究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/>
          <w:color w:val="000000"/>
          <w:sz w:val="32"/>
          <w:szCs w:val="32"/>
        </w:rPr>
        <w:t>7.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山东新型科技智库建设对策研究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28.</w:t>
      </w:r>
      <w:r>
        <w:rPr>
          <w:rFonts w:ascii="仿宋" w:eastAsia="仿宋" w:hAnsi="仿宋" w:cs="仿宋"/>
          <w:color w:val="000000"/>
          <w:sz w:val="32"/>
          <w:szCs w:val="32"/>
        </w:rPr>
        <w:t>山东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中医药产业高质量发展路径研究</w:t>
      </w:r>
    </w:p>
    <w:p w:rsidR="00486DFE" w:rsidRDefault="00486DF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2</w:t>
      </w:r>
      <w:r>
        <w:rPr>
          <w:rFonts w:ascii="仿宋" w:eastAsia="仿宋" w:hAnsi="仿宋" w:cs="仿宋"/>
          <w:color w:val="000000"/>
          <w:sz w:val="32"/>
          <w:szCs w:val="32"/>
        </w:rPr>
        <w:t>9.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基于突发公共事件背景下政府应对策略研究</w:t>
      </w:r>
    </w:p>
    <w:p w:rsidR="00486DFE" w:rsidRDefault="009D3E0B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/>
          <w:color w:val="000000"/>
          <w:sz w:val="32"/>
          <w:szCs w:val="32"/>
        </w:rPr>
        <w:t>0.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山东省公共卫生应急管理体系建设的现状及对策</w:t>
      </w:r>
    </w:p>
    <w:p w:rsidR="00486DFE" w:rsidRDefault="00486DFE">
      <w:pPr>
        <w:spacing w:line="560" w:lineRule="exact"/>
        <w:rPr>
          <w:rFonts w:ascii="仿宋_GB2312" w:eastAsia="仿宋_GB2312" w:hAnsi="方正小标宋" w:cs="方正小标宋"/>
          <w:szCs w:val="21"/>
        </w:rPr>
      </w:pPr>
    </w:p>
    <w:p w:rsidR="00486DFE" w:rsidRDefault="00486DFE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486DFE">
      <w:footerReference w:type="even" r:id="rId8"/>
      <w:footerReference w:type="default" r:id="rId9"/>
      <w:pgSz w:w="11906" w:h="16838"/>
      <w:pgMar w:top="2211" w:right="1531" w:bottom="1871" w:left="1531" w:header="851" w:footer="1247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0B" w:rsidRDefault="009D3E0B">
      <w:r>
        <w:separator/>
      </w:r>
    </w:p>
  </w:endnote>
  <w:endnote w:type="continuationSeparator" w:id="0">
    <w:p w:rsidR="009D3E0B" w:rsidRDefault="009D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FE" w:rsidRDefault="009D3E0B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486DFE" w:rsidRDefault="00486D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FE" w:rsidRDefault="009B3956">
    <w:pPr>
      <w:pStyle w:val="a4"/>
      <w:rPr>
        <w:rStyle w:val="a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DFE" w:rsidRDefault="009D3E0B">
                          <w:pPr>
                            <w:pStyle w:val="a4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B3956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35.05pt;height:18.1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hUrAIAAKkFAAAOAAAAZHJzL2Uyb0RvYy54bWysVF1vmzAUfZ+0/2D5nWIopAGVVG0I06Tu&#10;Q2r3AxwwwRrYyHYD3bT/vmsTkrR9mbbxgC729fE59x7u9c3YtWjPlOZSZDi4IBgxUcqKi12Gvz0W&#10;3hIjbaioaCsFy/Az0/hm9f7d9dCnLJSNbCumEIAInQ59hhtj+tT3ddmwjuoL2TMBm7VUHTXwqXZ+&#10;pegA6F3rh4Qs/EGqqleyZFrDaj5t4pXDr2tWmi91rZlBbYaBm3Fv5d5b+/ZX1zTdKdo3vDzQoH/B&#10;oqNcwKVHqJwaip4UfwPV8VJJLWtzUcrOl3XNS+Y0gJqAvFLz0NCeOS1QHN0fy6T/H2z5ef9VIV5B&#10;7zAStIMWPbLRoDs5ooCEsS3Q0OsU8h56yDQj7NhkK1b397L8rpGQ64aKHbtVSg4NoxUQDOxJ/+zo&#10;hKMtyHb4JCu4iT4Z6YDGWnUWEOqBAB0a9XxsjmVTwmIUxcFljFEJW+EliYnj5tN0PtwrbT4w2SEb&#10;ZFhB7x043d9rY8nQdE6xdwlZ8LZ1/W/FiwVInFbgajhq9ywJ186fCUk2y80y8qJwsfEikufebbGO&#10;vEURXMX5Zb5e58Eve28QpQ2vKibsNbO1gujPWncw+WSKo7m0bHll4SwlrXbbdavQnoK1C/e4ksPO&#10;Kc1/ScMVAbS8khSEEbkLE69YLK+8qIhiL7kiS48EyV2yIFES5cVLSfdcsH+XhIYMJzF4zMk5kX6l&#10;jbjnrTaadtzA8Gh5l+HlMYmm1oEbUbnWGsrbKT4rhaV/KgW0e26086u16GRWM25HQLEm3srqGZyr&#10;JDgL7AkTD4JGqh8YDTA9MixgvGHUfhTgfTto5kDNwXYOqCjhYIYNRlO4NtNAeuoV3zWAO/9dt/B/&#10;FNx598Th8FfBPHASDrPLDpzzb5d1mrCr3wAAAP//AwBQSwMEFAAGAAgAAAAhANCiXn/YAAAAAwEA&#10;AA8AAABkcnMvZG93bnJldi54bWxMj8FqwzAQRO+F/oPYQm6NnAaS4FgOJdBLb0lLIbeNtbFMpJWR&#10;FMf++6q9tJeFYYaZt9VudFYMFGLnWcFiXoAgbrzuuFXw+fH2vAERE7JG65kUTBRhVz8+VFhqf+cD&#10;DcfUilzCsUQFJqW+lDI2hhzGue+Js3fxwWHKMrRSB7zncmflS1GspMOO84LBnvaGmuvx5hSsxy9P&#10;faQ9nS5DE0w3bez7pNTsaXzdgkg0pr8w/OBndKgz09nfWEdhFeRH0u/N3rpYgDgrWK6WIOtK/mev&#10;vwEAAP//AwBQSwECLQAUAAYACAAAACEAtoM4kv4AAADhAQAAEwAAAAAAAAAAAAAAAAAAAAAAW0Nv&#10;bnRlbnRfVHlwZXNdLnhtbFBLAQItABQABgAIAAAAIQA4/SH/1gAAAJQBAAALAAAAAAAAAAAAAAAA&#10;AC8BAABfcmVscy8ucmVsc1BLAQItABQABgAIAAAAIQDJt0hUrAIAAKkFAAAOAAAAAAAAAAAAAAAA&#10;AC4CAABkcnMvZTJvRG9jLnhtbFBLAQItABQABgAIAAAAIQDQol5/2AAAAAMBAAAPAAAAAAAAAAAA&#10;AAAAAAYFAABkcnMvZG93bnJldi54bWxQSwUGAAAAAAQABADzAAAACwYAAAAA&#10;" filled="f" stroked="f">
              <v:textbox style="mso-fit-shape-to-text:t" inset="0,0,0,0">
                <w:txbxContent>
                  <w:p w:rsidR="00486DFE" w:rsidRDefault="009D3E0B">
                    <w:pPr>
                      <w:pStyle w:val="a4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9B3956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86DFE" w:rsidRDefault="00486DFE">
    <w:pPr>
      <w:pStyle w:val="a4"/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0B" w:rsidRDefault="009D3E0B">
      <w:r>
        <w:separator/>
      </w:r>
    </w:p>
  </w:footnote>
  <w:footnote w:type="continuationSeparator" w:id="0">
    <w:p w:rsidR="009D3E0B" w:rsidRDefault="009D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5E"/>
    <w:rsid w:val="00024DAD"/>
    <w:rsid w:val="00046B1D"/>
    <w:rsid w:val="000649C5"/>
    <w:rsid w:val="00066E60"/>
    <w:rsid w:val="000B51CD"/>
    <w:rsid w:val="0011608C"/>
    <w:rsid w:val="00127327"/>
    <w:rsid w:val="001368D7"/>
    <w:rsid w:val="00153EDD"/>
    <w:rsid w:val="001720E3"/>
    <w:rsid w:val="00186FBE"/>
    <w:rsid w:val="001C77BD"/>
    <w:rsid w:val="001E4BEB"/>
    <w:rsid w:val="00376D08"/>
    <w:rsid w:val="003D034A"/>
    <w:rsid w:val="00404CAA"/>
    <w:rsid w:val="00405F3B"/>
    <w:rsid w:val="0041645E"/>
    <w:rsid w:val="00444241"/>
    <w:rsid w:val="004466DB"/>
    <w:rsid w:val="00473203"/>
    <w:rsid w:val="00486DFE"/>
    <w:rsid w:val="004B2BFC"/>
    <w:rsid w:val="004E1317"/>
    <w:rsid w:val="004F188E"/>
    <w:rsid w:val="004F7402"/>
    <w:rsid w:val="005028CE"/>
    <w:rsid w:val="00556E6D"/>
    <w:rsid w:val="005650EF"/>
    <w:rsid w:val="0056793B"/>
    <w:rsid w:val="005772E4"/>
    <w:rsid w:val="0058126B"/>
    <w:rsid w:val="005C08C0"/>
    <w:rsid w:val="005D14CE"/>
    <w:rsid w:val="00662DBE"/>
    <w:rsid w:val="00663619"/>
    <w:rsid w:val="0066608B"/>
    <w:rsid w:val="006C6C94"/>
    <w:rsid w:val="006E3159"/>
    <w:rsid w:val="007A7EE1"/>
    <w:rsid w:val="00823839"/>
    <w:rsid w:val="00832564"/>
    <w:rsid w:val="00840B8D"/>
    <w:rsid w:val="008B2453"/>
    <w:rsid w:val="008C01DA"/>
    <w:rsid w:val="008D0C57"/>
    <w:rsid w:val="008D3028"/>
    <w:rsid w:val="00913243"/>
    <w:rsid w:val="0094252B"/>
    <w:rsid w:val="009B3956"/>
    <w:rsid w:val="009D3E0B"/>
    <w:rsid w:val="009E563E"/>
    <w:rsid w:val="00A41282"/>
    <w:rsid w:val="00A4435F"/>
    <w:rsid w:val="00A53487"/>
    <w:rsid w:val="00AC50EC"/>
    <w:rsid w:val="00B06197"/>
    <w:rsid w:val="00B50B8C"/>
    <w:rsid w:val="00B6397F"/>
    <w:rsid w:val="00B674E8"/>
    <w:rsid w:val="00BC26B1"/>
    <w:rsid w:val="00BE3B3F"/>
    <w:rsid w:val="00C00397"/>
    <w:rsid w:val="00C05430"/>
    <w:rsid w:val="00C417B0"/>
    <w:rsid w:val="00C60BF2"/>
    <w:rsid w:val="00C612DF"/>
    <w:rsid w:val="00C818AD"/>
    <w:rsid w:val="00CA4B97"/>
    <w:rsid w:val="00CC0857"/>
    <w:rsid w:val="00CD6F29"/>
    <w:rsid w:val="00DC4A4A"/>
    <w:rsid w:val="00DC518C"/>
    <w:rsid w:val="00DD2103"/>
    <w:rsid w:val="00E24C01"/>
    <w:rsid w:val="00E81BFB"/>
    <w:rsid w:val="00EB4102"/>
    <w:rsid w:val="00EE51DC"/>
    <w:rsid w:val="00F0219B"/>
    <w:rsid w:val="00F60C8F"/>
    <w:rsid w:val="00FF1C7A"/>
    <w:rsid w:val="011E2C06"/>
    <w:rsid w:val="014D25F6"/>
    <w:rsid w:val="04D27F5E"/>
    <w:rsid w:val="04F31565"/>
    <w:rsid w:val="050B7877"/>
    <w:rsid w:val="07574730"/>
    <w:rsid w:val="07D978DA"/>
    <w:rsid w:val="097C5C7E"/>
    <w:rsid w:val="0D1030A6"/>
    <w:rsid w:val="0EB843A4"/>
    <w:rsid w:val="100D7DB5"/>
    <w:rsid w:val="122331B7"/>
    <w:rsid w:val="12343213"/>
    <w:rsid w:val="13EA523E"/>
    <w:rsid w:val="19B37FE9"/>
    <w:rsid w:val="19CE6B4F"/>
    <w:rsid w:val="19F43A2E"/>
    <w:rsid w:val="1C316BBC"/>
    <w:rsid w:val="1D9E51CD"/>
    <w:rsid w:val="1DF97F3D"/>
    <w:rsid w:val="1E962B13"/>
    <w:rsid w:val="23A73F94"/>
    <w:rsid w:val="246A6582"/>
    <w:rsid w:val="25F217D2"/>
    <w:rsid w:val="26900B9A"/>
    <w:rsid w:val="27ED2363"/>
    <w:rsid w:val="2BB2239A"/>
    <w:rsid w:val="2C421587"/>
    <w:rsid w:val="2C792D35"/>
    <w:rsid w:val="2C8B254A"/>
    <w:rsid w:val="2D594901"/>
    <w:rsid w:val="2D6B7C7F"/>
    <w:rsid w:val="305D1EB1"/>
    <w:rsid w:val="30A177CB"/>
    <w:rsid w:val="335A0427"/>
    <w:rsid w:val="385B627C"/>
    <w:rsid w:val="389D7A48"/>
    <w:rsid w:val="3ED60D4D"/>
    <w:rsid w:val="44486FD1"/>
    <w:rsid w:val="46526778"/>
    <w:rsid w:val="46A02508"/>
    <w:rsid w:val="474F17DA"/>
    <w:rsid w:val="4A1A6FF5"/>
    <w:rsid w:val="4B7564C5"/>
    <w:rsid w:val="4BBA04CA"/>
    <w:rsid w:val="4CAD31A4"/>
    <w:rsid w:val="4F2C3A9E"/>
    <w:rsid w:val="50761426"/>
    <w:rsid w:val="54723985"/>
    <w:rsid w:val="569A2FA9"/>
    <w:rsid w:val="59C73198"/>
    <w:rsid w:val="59F75D5B"/>
    <w:rsid w:val="5B8C7BBD"/>
    <w:rsid w:val="5BD01630"/>
    <w:rsid w:val="5C6626AF"/>
    <w:rsid w:val="5EC711F9"/>
    <w:rsid w:val="66B33833"/>
    <w:rsid w:val="67191E99"/>
    <w:rsid w:val="697811BD"/>
    <w:rsid w:val="6B995EEA"/>
    <w:rsid w:val="6C7F1F1D"/>
    <w:rsid w:val="6F376001"/>
    <w:rsid w:val="709D0D31"/>
    <w:rsid w:val="78321267"/>
    <w:rsid w:val="7A2D6062"/>
    <w:rsid w:val="7A833DA0"/>
    <w:rsid w:val="7BEA5AA1"/>
    <w:rsid w:val="7D7C4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qFormat/>
    <w:rPr>
      <w:rFonts w:asciiTheme="minorHAnsi" w:eastAsia="微软雅黑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qFormat/>
    <w:rPr>
      <w:rFonts w:asciiTheme="minorHAnsi" w:eastAsia="微软雅黑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关于省科协连续性内部资料出版物</dc:title>
  <dc:creator>微软用户</dc:creator>
  <cp:lastModifiedBy>xb21cn</cp:lastModifiedBy>
  <cp:revision>2</cp:revision>
  <cp:lastPrinted>2020-10-24T09:28:00Z</cp:lastPrinted>
  <dcterms:created xsi:type="dcterms:W3CDTF">2020-10-26T10:27:00Z</dcterms:created>
  <dcterms:modified xsi:type="dcterms:W3CDTF">2020-10-26T10:27:00Z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